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FA62C" w14:textId="77777777" w:rsidR="00632193" w:rsidRPr="00A76C1F" w:rsidRDefault="00632193" w:rsidP="00632193">
      <w:pPr>
        <w:spacing w:after="0"/>
        <w:jc w:val="center"/>
        <w:rPr>
          <w:rFonts w:ascii="Cambria" w:eastAsia="Times New Roman" w:hAnsi="Cambria" w:cs="Times New Roman"/>
          <w:b/>
          <w:bCs/>
          <w:color w:val="000000"/>
          <w:sz w:val="24"/>
          <w:szCs w:val="24"/>
        </w:rPr>
      </w:pPr>
      <w:r w:rsidRPr="00663C4D">
        <w:rPr>
          <w:rFonts w:ascii="Cambria" w:eastAsia="Times New Roman" w:hAnsi="Cambria" w:cs="Times New Roman"/>
          <w:b/>
          <w:bCs/>
          <w:color w:val="000000"/>
          <w:sz w:val="24"/>
          <w:szCs w:val="24"/>
        </w:rPr>
        <w:t xml:space="preserve">MTF Research Summary </w:t>
      </w:r>
    </w:p>
    <w:p w14:paraId="7056B388" w14:textId="77777777" w:rsidR="00632193" w:rsidRPr="00663C4D" w:rsidRDefault="00632193" w:rsidP="00632193">
      <w:pPr>
        <w:spacing w:after="0"/>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Thomas Nikolai, Eric J. Galbraith, Michael P. Rabe</w:t>
      </w:r>
    </w:p>
    <w:p w14:paraId="49326889" w14:textId="77777777" w:rsidR="00632193" w:rsidRPr="00663C4D" w:rsidRDefault="00632193" w:rsidP="00632193">
      <w:pPr>
        <w:spacing w:after="0"/>
        <w:jc w:val="center"/>
        <w:rPr>
          <w:rFonts w:ascii="Cambria" w:eastAsia="Times New Roman" w:hAnsi="Cambria" w:cs="Calibri"/>
          <w:color w:val="201F1E"/>
          <w:sz w:val="24"/>
          <w:szCs w:val="24"/>
        </w:rPr>
      </w:pPr>
      <w:r w:rsidRPr="00663C4D">
        <w:rPr>
          <w:rFonts w:ascii="Cambria" w:eastAsia="Times New Roman" w:hAnsi="Cambria" w:cs="Times New Roman"/>
          <w:color w:val="000000"/>
          <w:sz w:val="24"/>
          <w:szCs w:val="24"/>
        </w:rPr>
        <w:t>Michigan State University</w:t>
      </w:r>
      <w:r w:rsidRPr="00663C4D">
        <w:rPr>
          <w:rFonts w:ascii="Cambria" w:eastAsia="Times New Roman" w:hAnsi="Cambria" w:cs="Calibri"/>
          <w:color w:val="201F1E"/>
          <w:sz w:val="24"/>
          <w:szCs w:val="24"/>
        </w:rPr>
        <w:t> </w:t>
      </w:r>
    </w:p>
    <w:p w14:paraId="2DE11AA0" w14:textId="77777777" w:rsidR="00632193" w:rsidRPr="00663C4D" w:rsidRDefault="00632193" w:rsidP="00632193">
      <w:pPr>
        <w:spacing w:after="0"/>
        <w:jc w:val="center"/>
        <w:rPr>
          <w:rFonts w:ascii="Cambria" w:eastAsia="Times New Roman" w:hAnsi="Cambria" w:cs="Calibri"/>
          <w:color w:val="201F1E"/>
          <w:sz w:val="24"/>
          <w:szCs w:val="24"/>
        </w:rPr>
      </w:pPr>
      <w:r>
        <w:rPr>
          <w:rFonts w:ascii="Cambria" w:eastAsia="Times New Roman" w:hAnsi="Cambria" w:cs="Calibri"/>
          <w:color w:val="201F1E"/>
          <w:sz w:val="24"/>
          <w:szCs w:val="24"/>
        </w:rPr>
        <w:t>February 2026</w:t>
      </w:r>
    </w:p>
    <w:p w14:paraId="2FC73136"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07B7AA3B" w14:textId="77777777" w:rsidR="00632193" w:rsidRPr="00663C4D"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Project Name:</w:t>
      </w:r>
      <w:r w:rsidRPr="00663C4D">
        <w:rPr>
          <w:rFonts w:ascii="Cambria" w:eastAsia="Times New Roman" w:hAnsi="Cambria" w:cs="Times New Roman"/>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Effects of Season Long Double Rolling on Turf Health, Disease and Spring Green Up (2023-2026)</w:t>
      </w:r>
    </w:p>
    <w:p w14:paraId="2C0A4318" w14:textId="77777777" w:rsidR="00632193" w:rsidRPr="00663C4D" w:rsidRDefault="00632193" w:rsidP="00632193">
      <w:pPr>
        <w:shd w:val="clear" w:color="auto" w:fill="FFFFFF"/>
        <w:spacing w:after="0" w:line="240" w:lineRule="auto"/>
        <w:textAlignment w:val="baseline"/>
        <w:rPr>
          <w:rFonts w:ascii="Cambria" w:eastAsia="Times New Roman" w:hAnsi="Cambria" w:cs="Times New Roman"/>
          <w:color w:val="201F1E"/>
          <w:sz w:val="24"/>
          <w:szCs w:val="24"/>
        </w:rPr>
      </w:pPr>
    </w:p>
    <w:p w14:paraId="20BCC943"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How the MTF funding </w:t>
      </w:r>
      <w:r>
        <w:rPr>
          <w:rFonts w:ascii="Cambria" w:eastAsia="Times New Roman" w:hAnsi="Cambria" w:cs="Times New Roman"/>
          <w:b/>
          <w:bCs/>
          <w:color w:val="201F1E"/>
          <w:sz w:val="24"/>
          <w:szCs w:val="24"/>
          <w:bdr w:val="none" w:sz="0" w:space="0" w:color="auto" w:frame="1"/>
        </w:rPr>
        <w:t>will be</w:t>
      </w:r>
      <w:r w:rsidRPr="00663C4D">
        <w:rPr>
          <w:rFonts w:ascii="Cambria" w:eastAsia="Times New Roman" w:hAnsi="Cambria" w:cs="Times New Roman"/>
          <w:b/>
          <w:bCs/>
          <w:color w:val="201F1E"/>
          <w:sz w:val="24"/>
          <w:szCs w:val="24"/>
          <w:bdr w:val="none" w:sz="0" w:space="0" w:color="auto" w:frame="1"/>
        </w:rPr>
        <w:t xml:space="preserve"> used to support project(s): </w:t>
      </w:r>
      <w:r>
        <w:rPr>
          <w:rFonts w:ascii="Cambria" w:eastAsia="Times New Roman" w:hAnsi="Cambria" w:cs="Times New Roman"/>
          <w:color w:val="201F1E"/>
          <w:sz w:val="24"/>
          <w:szCs w:val="24"/>
          <w:bdr w:val="none" w:sz="0" w:space="0" w:color="auto" w:frame="1"/>
        </w:rPr>
        <w:t xml:space="preserve">Support </w:t>
      </w:r>
      <w:r w:rsidRPr="00480801">
        <w:rPr>
          <w:rFonts w:ascii="Cambria" w:eastAsia="Times New Roman" w:hAnsi="Cambria" w:cs="Times New Roman"/>
          <w:color w:val="201F1E"/>
          <w:sz w:val="24"/>
          <w:szCs w:val="24"/>
          <w:bdr w:val="none" w:sz="0" w:space="0" w:color="auto" w:frame="1"/>
        </w:rPr>
        <w:t>funding</w:t>
      </w:r>
      <w:r>
        <w:rPr>
          <w:rFonts w:ascii="Cambria" w:eastAsia="Times New Roman" w:hAnsi="Cambria" w:cs="Times New Roman"/>
          <w:color w:val="201F1E"/>
          <w:sz w:val="24"/>
          <w:szCs w:val="24"/>
          <w:bdr w:val="none" w:sz="0" w:space="0" w:color="auto" w:frame="1"/>
        </w:rPr>
        <w:t xml:space="preserve"> will</w:t>
      </w:r>
      <w:r w:rsidRPr="00480801">
        <w:rPr>
          <w:rFonts w:ascii="Cambria" w:eastAsia="Times New Roman" w:hAnsi="Cambria" w:cs="Times New Roman"/>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 xml:space="preserve">allow </w:t>
      </w:r>
      <w:r w:rsidRPr="00480801">
        <w:rPr>
          <w:rFonts w:ascii="Cambria" w:eastAsia="Times New Roman" w:hAnsi="Cambria" w:cs="Times New Roman"/>
          <w:color w:val="201F1E"/>
          <w:sz w:val="24"/>
          <w:szCs w:val="24"/>
          <w:bdr w:val="none" w:sz="0" w:space="0" w:color="auto" w:frame="1"/>
        </w:rPr>
        <w:t xml:space="preserve">researchers to evaluate </w:t>
      </w:r>
      <w:r>
        <w:rPr>
          <w:rFonts w:ascii="Cambria" w:eastAsia="Times New Roman" w:hAnsi="Cambria" w:cs="Times New Roman"/>
          <w:color w:val="201F1E"/>
          <w:sz w:val="24"/>
          <w:szCs w:val="24"/>
          <w:bdr w:val="none" w:sz="0" w:space="0" w:color="auto" w:frame="1"/>
        </w:rPr>
        <w:t xml:space="preserve">turf tolerance to daily winter rolling and study early spring green up effects as well as summer season effects pertaining to disease control, </w:t>
      </w:r>
      <w:proofErr w:type="spellStart"/>
      <w:r>
        <w:rPr>
          <w:rFonts w:ascii="Cambria" w:eastAsia="Times New Roman" w:hAnsi="Cambria" w:cs="Times New Roman"/>
          <w:color w:val="201F1E"/>
          <w:sz w:val="24"/>
          <w:szCs w:val="24"/>
          <w:bdr w:val="none" w:sz="0" w:space="0" w:color="auto" w:frame="1"/>
        </w:rPr>
        <w:t>greenspeed</w:t>
      </w:r>
      <w:proofErr w:type="spellEnd"/>
      <w:r>
        <w:rPr>
          <w:rFonts w:ascii="Cambria" w:eastAsia="Times New Roman" w:hAnsi="Cambria" w:cs="Times New Roman"/>
          <w:color w:val="201F1E"/>
          <w:sz w:val="24"/>
          <w:szCs w:val="24"/>
          <w:bdr w:val="none" w:sz="0" w:space="0" w:color="auto" w:frame="1"/>
        </w:rPr>
        <w:t xml:space="preserve"> and overall turf and soil health as daily rolling continues throughout the year.</w:t>
      </w:r>
    </w:p>
    <w:p w14:paraId="0581C524" w14:textId="77777777" w:rsidR="00632193" w:rsidRPr="00277DDE"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p>
    <w:p w14:paraId="5E74B996" w14:textId="77777777" w:rsidR="00632193" w:rsidRDefault="00632193" w:rsidP="00632193">
      <w:pPr>
        <w:rPr>
          <w:rFonts w:ascii="Cambria" w:eastAsia="Times New Roman" w:hAnsi="Cambria" w:cs="Times New Roman"/>
          <w:bCs/>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 xml:space="preserve">Expected </w:t>
      </w:r>
      <w:r w:rsidRPr="004716DB">
        <w:rPr>
          <w:rFonts w:ascii="Cambria" w:eastAsia="Times New Roman" w:hAnsi="Cambria" w:cs="Times New Roman"/>
          <w:b/>
          <w:bCs/>
          <w:color w:val="201F1E"/>
          <w:sz w:val="24"/>
          <w:szCs w:val="24"/>
          <w:bdr w:val="none" w:sz="0" w:space="0" w:color="auto" w:frame="1"/>
        </w:rPr>
        <w:t>Results</w:t>
      </w:r>
      <w:r>
        <w:rPr>
          <w:rFonts w:ascii="Cambria" w:eastAsia="Times New Roman" w:hAnsi="Cambria" w:cs="Times New Roman"/>
          <w:b/>
          <w:bCs/>
          <w:color w:val="201F1E"/>
          <w:sz w:val="24"/>
          <w:szCs w:val="24"/>
          <w:bdr w:val="none" w:sz="0" w:space="0" w:color="auto" w:frame="1"/>
        </w:rPr>
        <w:t xml:space="preserve"> and Methods</w:t>
      </w:r>
      <w:r w:rsidRPr="004716DB">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 xml:space="preserve">This trial began in late fall 2023. </w:t>
      </w:r>
      <w:r>
        <w:rPr>
          <w:rFonts w:ascii="Cambria" w:eastAsia="Times New Roman" w:hAnsi="Cambria" w:cs="Times New Roman"/>
          <w:bCs/>
          <w:color w:val="201F1E"/>
          <w:sz w:val="24"/>
          <w:szCs w:val="24"/>
          <w:bdr w:val="none" w:sz="0" w:space="0" w:color="auto" w:frame="1"/>
        </w:rPr>
        <w:t xml:space="preserve">We wanted to test the resilience of greens height turf to daily rolling during the cold winter months and see if there were any effects carried into the spring season when green up ratings were taken. TDR and surface temperatures were recorded on sunny days in early spring when snow was not present. Daily rolling continued throughout the growing season and </w:t>
      </w:r>
      <w:proofErr w:type="spellStart"/>
      <w:r>
        <w:rPr>
          <w:rFonts w:ascii="Cambria" w:eastAsia="Times New Roman" w:hAnsi="Cambria" w:cs="Times New Roman"/>
          <w:bCs/>
          <w:color w:val="201F1E"/>
          <w:sz w:val="24"/>
          <w:szCs w:val="24"/>
          <w:bdr w:val="none" w:sz="0" w:space="0" w:color="auto" w:frame="1"/>
        </w:rPr>
        <w:t>greenspeed</w:t>
      </w:r>
      <w:proofErr w:type="spellEnd"/>
      <w:r>
        <w:rPr>
          <w:rFonts w:ascii="Cambria" w:eastAsia="Times New Roman" w:hAnsi="Cambria" w:cs="Times New Roman"/>
          <w:bCs/>
          <w:color w:val="201F1E"/>
          <w:sz w:val="24"/>
          <w:szCs w:val="24"/>
          <w:bdr w:val="none" w:sz="0" w:space="0" w:color="auto" w:frame="1"/>
        </w:rPr>
        <w:t xml:space="preserve"> ratings, disease ratings and soil samples were taken.</w:t>
      </w:r>
    </w:p>
    <w:p w14:paraId="3F00A295" w14:textId="77777777" w:rsidR="00632193" w:rsidRDefault="00632193" w:rsidP="00632193">
      <w:pPr>
        <w:rPr>
          <w:rFonts w:ascii="Cambria" w:eastAsia="Times New Roman" w:hAnsi="Cambria" w:cs="Times New Roman"/>
          <w:bCs/>
          <w:color w:val="201F1E"/>
          <w:sz w:val="24"/>
          <w:szCs w:val="24"/>
          <w:bdr w:val="none" w:sz="0" w:space="0" w:color="auto" w:frame="1"/>
        </w:rPr>
      </w:pPr>
      <w:r>
        <w:rPr>
          <w:rFonts w:ascii="Cambria" w:eastAsia="Times New Roman" w:hAnsi="Cambria" w:cs="Times New Roman"/>
          <w:bCs/>
          <w:color w:val="201F1E"/>
          <w:sz w:val="24"/>
          <w:szCs w:val="24"/>
          <w:bdr w:val="none" w:sz="0" w:space="0" w:color="auto" w:frame="1"/>
        </w:rPr>
        <w:t xml:space="preserve">Data collected during 2023-2024 supports past research showing that daily rolling significantly increases </w:t>
      </w:r>
      <w:proofErr w:type="spellStart"/>
      <w:r>
        <w:rPr>
          <w:rFonts w:ascii="Cambria" w:eastAsia="Times New Roman" w:hAnsi="Cambria" w:cs="Times New Roman"/>
          <w:bCs/>
          <w:color w:val="201F1E"/>
          <w:sz w:val="24"/>
          <w:szCs w:val="24"/>
          <w:bdr w:val="none" w:sz="0" w:space="0" w:color="auto" w:frame="1"/>
        </w:rPr>
        <w:t>greenspeed</w:t>
      </w:r>
      <w:proofErr w:type="spellEnd"/>
      <w:r>
        <w:rPr>
          <w:rFonts w:ascii="Cambria" w:eastAsia="Times New Roman" w:hAnsi="Cambria" w:cs="Times New Roman"/>
          <w:bCs/>
          <w:color w:val="201F1E"/>
          <w:sz w:val="24"/>
          <w:szCs w:val="24"/>
          <w:bdr w:val="none" w:sz="0" w:space="0" w:color="auto" w:frame="1"/>
        </w:rPr>
        <w:t xml:space="preserve"> and decreases dollar spot. Although not statistically significant, we saw a general shift from rolled plots having a worse visual color in April to having a better visual color during green up in May of 2024. TDR analysis shows rolled plots holding more moisture and spring temperature readings show rolled plots being significantly colder than unrolled plots.</w:t>
      </w:r>
    </w:p>
    <w:p w14:paraId="166A07F9"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Project update: </w:t>
      </w:r>
      <w:r>
        <w:rPr>
          <w:rFonts w:ascii="Cambria" w:eastAsia="Times New Roman" w:hAnsi="Cambria" w:cs="Times New Roman"/>
          <w:color w:val="201F1E"/>
          <w:sz w:val="24"/>
          <w:szCs w:val="24"/>
          <w:bdr w:val="none" w:sz="0" w:space="0" w:color="auto" w:frame="1"/>
        </w:rPr>
        <w:t xml:space="preserve">Data from 2025 was </w:t>
      </w:r>
      <w:proofErr w:type="gramStart"/>
      <w:r>
        <w:rPr>
          <w:rFonts w:ascii="Cambria" w:eastAsia="Times New Roman" w:hAnsi="Cambria" w:cs="Times New Roman"/>
          <w:color w:val="201F1E"/>
          <w:sz w:val="24"/>
          <w:szCs w:val="24"/>
          <w:bdr w:val="none" w:sz="0" w:space="0" w:color="auto" w:frame="1"/>
        </w:rPr>
        <w:t>similar to</w:t>
      </w:r>
      <w:proofErr w:type="gramEnd"/>
      <w:r>
        <w:rPr>
          <w:rFonts w:ascii="Cambria" w:eastAsia="Times New Roman" w:hAnsi="Cambria" w:cs="Times New Roman"/>
          <w:color w:val="201F1E"/>
          <w:sz w:val="24"/>
          <w:szCs w:val="24"/>
          <w:bdr w:val="none" w:sz="0" w:space="0" w:color="auto" w:frame="1"/>
        </w:rPr>
        <w:t xml:space="preserve"> 2024. Every rating date showed significantly faster greens when rolled compared to control. Temperatures were significantly cooler on rolled greens. Volumetric water content was significantly higher in rolled plots. </w:t>
      </w:r>
    </w:p>
    <w:p w14:paraId="7CC086C3"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color w:val="201F1E"/>
          <w:sz w:val="24"/>
          <w:szCs w:val="24"/>
          <w:bdr w:val="none" w:sz="0" w:space="0" w:color="auto" w:frame="1"/>
        </w:rPr>
        <w:t xml:space="preserve">Green-up ratings in 2025 were phenomenal in terms of plot differences. Rolled plots appeared deteriorated from post-snowmelt all the way into early-April. By mid-April, rolled plots began to look better than </w:t>
      </w:r>
      <w:proofErr w:type="gramStart"/>
      <w:r>
        <w:rPr>
          <w:rFonts w:ascii="Cambria" w:eastAsia="Times New Roman" w:hAnsi="Cambria" w:cs="Times New Roman"/>
          <w:color w:val="201F1E"/>
          <w:sz w:val="24"/>
          <w:szCs w:val="24"/>
          <w:bdr w:val="none" w:sz="0" w:space="0" w:color="auto" w:frame="1"/>
        </w:rPr>
        <w:t>control</w:t>
      </w:r>
      <w:proofErr w:type="gramEnd"/>
      <w:r>
        <w:rPr>
          <w:rFonts w:ascii="Cambria" w:eastAsia="Times New Roman" w:hAnsi="Cambria" w:cs="Times New Roman"/>
          <w:color w:val="201F1E"/>
          <w:sz w:val="24"/>
          <w:szCs w:val="24"/>
          <w:bdr w:val="none" w:sz="0" w:space="0" w:color="auto" w:frame="1"/>
        </w:rPr>
        <w:t xml:space="preserve"> plots and they were consistently greener all the way into late June.</w:t>
      </w:r>
    </w:p>
    <w:p w14:paraId="00FEE699"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color w:val="201F1E"/>
          <w:sz w:val="24"/>
          <w:szCs w:val="24"/>
          <w:bdr w:val="none" w:sz="0" w:space="0" w:color="auto" w:frame="1"/>
        </w:rPr>
        <w:t>There were also benefits to disease control in rolled plots. Although not statistically significant, there were fewer dollar spots on rolled plots. All three rating dates during a brown patch outbreak in July and early August showed statistically significant decreases in percentage brown patch on rolled plots.</w:t>
      </w:r>
    </w:p>
    <w:p w14:paraId="4DE12385" w14:textId="77777777" w:rsidR="00632193" w:rsidRPr="00883E99"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color w:val="201F1E"/>
          <w:sz w:val="24"/>
          <w:szCs w:val="24"/>
          <w:bdr w:val="none" w:sz="0" w:space="0" w:color="auto" w:frame="1"/>
        </w:rPr>
        <w:t>Plots have been double rolled daily this fall/winter when snow is not present and surface temperature readings will be taken as soon as snow cover is gone. We hope to get some good spring green up differences again this year.</w:t>
      </w:r>
    </w:p>
    <w:p w14:paraId="511C780A" w14:textId="77777777" w:rsidR="00632193" w:rsidRDefault="00632193" w:rsidP="00632193">
      <w:pPr>
        <w:shd w:val="clear" w:color="auto" w:fill="FFFFFF"/>
        <w:spacing w:after="0" w:line="240" w:lineRule="auto"/>
        <w:jc w:val="center"/>
        <w:textAlignment w:val="baseline"/>
        <w:rPr>
          <w:rFonts w:ascii="Cambria" w:eastAsia="Times New Roman" w:hAnsi="Cambria" w:cs="Times New Roman"/>
          <w:b/>
          <w:bCs/>
          <w:color w:val="201F1E"/>
          <w:sz w:val="24"/>
          <w:szCs w:val="24"/>
          <w:bdr w:val="none" w:sz="0" w:space="0" w:color="auto" w:frame="1"/>
        </w:rPr>
      </w:pPr>
    </w:p>
    <w:p w14:paraId="4C35EAF4"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4B836BE1"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0BCE7D65"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lastRenderedPageBreak/>
        <w:t>Table</w:t>
      </w:r>
      <w:r w:rsidRPr="00663C4D">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b/>
          <w:bCs/>
          <w:color w:val="201F1E"/>
          <w:sz w:val="24"/>
          <w:szCs w:val="24"/>
          <w:bdr w:val="none" w:sz="0" w:space="0" w:color="auto" w:frame="1"/>
        </w:rPr>
        <w:t>1</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sidRPr="005C3E52">
        <w:rPr>
          <w:rFonts w:ascii="Cambria" w:eastAsia="Times New Roman" w:hAnsi="Cambria" w:cs="Times New Roman"/>
          <w:color w:val="201F1E"/>
          <w:sz w:val="24"/>
          <w:szCs w:val="24"/>
          <w:bdr w:val="none" w:sz="0" w:space="0" w:color="auto" w:frame="1"/>
        </w:rPr>
        <w:t>Spring</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Color Ratings (1-9 scale; 1=worst, 5=acceptable, 9=best) 2025</w:t>
      </w:r>
    </w:p>
    <w:p w14:paraId="0BAD3954" w14:textId="541DEAF7" w:rsidR="00632193" w:rsidRPr="00FB5127" w:rsidRDefault="00490F40"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noProof/>
          <w:color w:val="201F1E"/>
          <w:sz w:val="24"/>
          <w:szCs w:val="24"/>
          <w:bdr w:val="none" w:sz="0" w:space="0" w:color="auto" w:frame="1"/>
          <w14:ligatures w14:val="standardContextual"/>
        </w:rPr>
        <w:drawing>
          <wp:inline distT="0" distB="0" distL="0" distR="0" wp14:anchorId="1ACBDE73" wp14:editId="32A25D3A">
            <wp:extent cx="5943600" cy="2421890"/>
            <wp:effectExtent l="0" t="0" r="0" b="0"/>
            <wp:docPr id="166792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22780" name="Picture 166792278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421890"/>
                    </a:xfrm>
                    <a:prstGeom prst="rect">
                      <a:avLst/>
                    </a:prstGeom>
                  </pic:spPr>
                </pic:pic>
              </a:graphicData>
            </a:graphic>
          </wp:inline>
        </w:drawing>
      </w:r>
    </w:p>
    <w:p w14:paraId="0F7CF062"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Table</w:t>
      </w:r>
      <w:r w:rsidRPr="00663C4D">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b/>
          <w:bCs/>
          <w:color w:val="201F1E"/>
          <w:sz w:val="24"/>
          <w:szCs w:val="24"/>
          <w:bdr w:val="none" w:sz="0" w:space="0" w:color="auto" w:frame="1"/>
        </w:rPr>
        <w:t>2</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Dollar Spot Disease Pressure (Number of Dollar Spots) 2025</w:t>
      </w:r>
    </w:p>
    <w:p w14:paraId="471EA12A" w14:textId="38053B30" w:rsidR="00632193" w:rsidRPr="00FB5127" w:rsidRDefault="00490F40"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noProof/>
          <w:color w:val="201F1E"/>
          <w:sz w:val="24"/>
          <w:szCs w:val="24"/>
          <w:bdr w:val="none" w:sz="0" w:space="0" w:color="auto" w:frame="1"/>
          <w14:ligatures w14:val="standardContextual"/>
        </w:rPr>
        <w:drawing>
          <wp:inline distT="0" distB="0" distL="0" distR="0" wp14:anchorId="3BBC7089" wp14:editId="2EEF6FD7">
            <wp:extent cx="5943600" cy="2337435"/>
            <wp:effectExtent l="0" t="0" r="0" b="5715"/>
            <wp:docPr id="13818138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13859" name="Picture 138181385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7D199F9F"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5B0D8F05"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3234A130"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28187745"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4DA45AD2"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353D1271"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02F93EF7"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2EF128E7"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74BAEEF9"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426EBB1F"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2D0D670F"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76377945"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49344F91"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76DD3F1F"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20CB731D"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2266BD41" w14:textId="77777777" w:rsidR="00490F40" w:rsidRDefault="00490F40"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380BD3E9"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38CD6A36"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lastRenderedPageBreak/>
        <w:t>Table</w:t>
      </w:r>
      <w:r w:rsidRPr="00663C4D">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b/>
          <w:bCs/>
          <w:color w:val="201F1E"/>
          <w:sz w:val="24"/>
          <w:szCs w:val="24"/>
          <w:bdr w:val="none" w:sz="0" w:space="0" w:color="auto" w:frame="1"/>
        </w:rPr>
        <w:t>3</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Brown Patch Disease Pressure (Percent Plot Cover) 2025</w:t>
      </w:r>
    </w:p>
    <w:p w14:paraId="3B7067EB" w14:textId="6DE63C74" w:rsidR="00632193" w:rsidRDefault="00490F40"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noProof/>
          <w:color w:val="201F1E"/>
          <w:sz w:val="24"/>
          <w:szCs w:val="24"/>
          <w:bdr w:val="none" w:sz="0" w:space="0" w:color="auto" w:frame="1"/>
          <w14:ligatures w14:val="standardContextual"/>
        </w:rPr>
        <w:drawing>
          <wp:inline distT="0" distB="0" distL="0" distR="0" wp14:anchorId="34AA0D4D" wp14:editId="4C53339A">
            <wp:extent cx="5943600" cy="2616200"/>
            <wp:effectExtent l="0" t="0" r="0" b="0"/>
            <wp:docPr id="23072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2724" name="Picture 230727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16200"/>
                    </a:xfrm>
                    <a:prstGeom prst="rect">
                      <a:avLst/>
                    </a:prstGeom>
                  </pic:spPr>
                </pic:pic>
              </a:graphicData>
            </a:graphic>
          </wp:inline>
        </w:drawing>
      </w:r>
    </w:p>
    <w:p w14:paraId="624F7517"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1D4BE194"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Grad Student(s) Involved:</w:t>
      </w:r>
      <w:r w:rsidRPr="00663C4D">
        <w:rPr>
          <w:rFonts w:ascii="Cambria" w:eastAsia="Times New Roman" w:hAnsi="Cambria" w:cs="Times New Roman"/>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Michael Rabe</w:t>
      </w:r>
    </w:p>
    <w:p w14:paraId="0319A5AA"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p>
    <w:p w14:paraId="09F51565" w14:textId="77777777" w:rsidR="00632193" w:rsidRPr="009C6F4B" w:rsidRDefault="00632193" w:rsidP="00632193">
      <w:pPr>
        <w:shd w:val="clear" w:color="auto" w:fill="FFFFFF"/>
        <w:spacing w:after="0" w:line="240" w:lineRule="auto"/>
        <w:textAlignment w:val="baseline"/>
        <w:rPr>
          <w:rFonts w:ascii="Cambria" w:hAnsi="Cambria"/>
          <w:sz w:val="24"/>
          <w:szCs w:val="24"/>
        </w:rPr>
      </w:pPr>
      <w:r w:rsidRPr="00663C4D">
        <w:rPr>
          <w:rFonts w:ascii="Cambria" w:eastAsia="Times New Roman" w:hAnsi="Cambria" w:cs="Times New Roman"/>
          <w:b/>
          <w:bCs/>
          <w:color w:val="201F1E"/>
          <w:sz w:val="24"/>
          <w:szCs w:val="24"/>
          <w:bdr w:val="none" w:sz="0" w:space="0" w:color="auto" w:frame="1"/>
        </w:rPr>
        <w:t>Benefit Group</w:t>
      </w:r>
      <w:proofErr w:type="gramStart"/>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sidRPr="00277DDE">
        <w:rPr>
          <w:rFonts w:ascii="Cambria" w:eastAsia="Times New Roman" w:hAnsi="Cambria" w:cs="Times New Roman"/>
          <w:color w:val="201F1E"/>
          <w:sz w:val="24"/>
          <w:szCs w:val="24"/>
          <w:bdr w:val="none" w:sz="0" w:space="0" w:color="auto" w:frame="1"/>
        </w:rPr>
        <w:t>This</w:t>
      </w:r>
      <w:proofErr w:type="gramEnd"/>
      <w:r w:rsidRPr="00277DDE">
        <w:rPr>
          <w:rFonts w:ascii="Cambria" w:eastAsia="Times New Roman" w:hAnsi="Cambria" w:cs="Times New Roman"/>
          <w:color w:val="201F1E"/>
          <w:sz w:val="24"/>
          <w:szCs w:val="24"/>
          <w:bdr w:val="none" w:sz="0" w:space="0" w:color="auto" w:frame="1"/>
        </w:rPr>
        <w:t xml:space="preserve"> </w:t>
      </w:r>
      <w:r w:rsidRPr="00277DDE">
        <w:rPr>
          <w:rFonts w:ascii="Cambria" w:hAnsi="Cambria"/>
          <w:sz w:val="24"/>
          <w:szCs w:val="24"/>
        </w:rPr>
        <w:t>research will benefit golf courses</w:t>
      </w:r>
      <w:r>
        <w:rPr>
          <w:rFonts w:ascii="Cambria" w:hAnsi="Cambria"/>
          <w:sz w:val="24"/>
          <w:szCs w:val="24"/>
        </w:rPr>
        <w:t>. Rolling has become a staple practice on many golf courses, but it is not typically done in the colder months for fear of damaging the turf. Investigation into winter/early spring rolling and its effects on spring green up will prove useful to courses looking to kickstart the playing season. Benefits to disease control by rolling could add another crucial preventative tool for superintendents to use.</w:t>
      </w:r>
    </w:p>
    <w:p w14:paraId="1A4284BC"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p>
    <w:p w14:paraId="04EADDE2"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Figure </w:t>
      </w:r>
      <w:r>
        <w:rPr>
          <w:rFonts w:ascii="Cambria" w:eastAsia="Times New Roman" w:hAnsi="Cambria" w:cs="Times New Roman"/>
          <w:b/>
          <w:bCs/>
          <w:color w:val="201F1E"/>
          <w:sz w:val="24"/>
          <w:szCs w:val="24"/>
          <w:bdr w:val="none" w:sz="0" w:space="0" w:color="auto" w:frame="1"/>
        </w:rPr>
        <w:t>1</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March 5, 2025</w:t>
      </w:r>
    </w:p>
    <w:p w14:paraId="414ED72B"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572CA">
        <w:rPr>
          <w:rFonts w:ascii="Cambria" w:eastAsia="Times New Roman" w:hAnsi="Cambria" w:cs="Times New Roman"/>
          <w:noProof/>
          <w:color w:val="201F1E"/>
          <w:sz w:val="24"/>
          <w:szCs w:val="24"/>
          <w:bdr w:val="none" w:sz="0" w:space="0" w:color="auto" w:frame="1"/>
        </w:rPr>
        <w:drawing>
          <wp:inline distT="0" distB="0" distL="0" distR="0" wp14:anchorId="2CF249A7" wp14:editId="66005373">
            <wp:extent cx="5943600" cy="3230880"/>
            <wp:effectExtent l="0" t="0" r="0" b="7620"/>
            <wp:docPr id="543434189" name="Picture 2">
              <a:extLst xmlns:a="http://schemas.openxmlformats.org/drawingml/2006/main">
                <a:ext uri="{FF2B5EF4-FFF2-40B4-BE49-F238E27FC236}">
                  <a16:creationId xmlns:a16="http://schemas.microsoft.com/office/drawing/2014/main" id="{9B563D19-EA8E-4913-FA43-3F897FB01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563D19-EA8E-4913-FA43-3F897FB014F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30880"/>
                    </a:xfrm>
                    <a:prstGeom prst="rect">
                      <a:avLst/>
                    </a:prstGeom>
                  </pic:spPr>
                </pic:pic>
              </a:graphicData>
            </a:graphic>
          </wp:inline>
        </w:drawing>
      </w:r>
    </w:p>
    <w:p w14:paraId="08A16753"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63C4D">
        <w:rPr>
          <w:rFonts w:ascii="Cambria" w:eastAsia="Times New Roman" w:hAnsi="Cambria" w:cs="Times New Roman"/>
          <w:b/>
          <w:bCs/>
          <w:color w:val="201F1E"/>
          <w:sz w:val="24"/>
          <w:szCs w:val="24"/>
          <w:bdr w:val="none" w:sz="0" w:space="0" w:color="auto" w:frame="1"/>
        </w:rPr>
        <w:t xml:space="preserve">Figure </w:t>
      </w:r>
      <w:r>
        <w:rPr>
          <w:rFonts w:ascii="Cambria" w:eastAsia="Times New Roman" w:hAnsi="Cambria" w:cs="Times New Roman"/>
          <w:b/>
          <w:bCs/>
          <w:color w:val="201F1E"/>
          <w:sz w:val="24"/>
          <w:szCs w:val="24"/>
          <w:bdr w:val="none" w:sz="0" w:space="0" w:color="auto" w:frame="1"/>
        </w:rPr>
        <w:t>2</w:t>
      </w:r>
      <w:r w:rsidRPr="00663C4D">
        <w:rPr>
          <w:rFonts w:ascii="Cambria" w:eastAsia="Times New Roman" w:hAnsi="Cambria" w:cs="Times New Roman"/>
          <w:b/>
          <w:bCs/>
          <w:color w:val="201F1E"/>
          <w:sz w:val="24"/>
          <w:szCs w:val="24"/>
          <w:bdr w:val="none" w:sz="0" w:space="0" w:color="auto" w:frame="1"/>
        </w:rPr>
        <w:t>.</w:t>
      </w:r>
      <w:r>
        <w:rPr>
          <w:rFonts w:ascii="Cambria" w:eastAsia="Times New Roman" w:hAnsi="Cambria" w:cs="Times New Roman"/>
          <w:b/>
          <w:bCs/>
          <w:color w:val="201F1E"/>
          <w:sz w:val="24"/>
          <w:szCs w:val="24"/>
          <w:bdr w:val="none" w:sz="0" w:space="0" w:color="auto" w:frame="1"/>
        </w:rPr>
        <w:t xml:space="preserve"> </w:t>
      </w:r>
      <w:r>
        <w:rPr>
          <w:rFonts w:ascii="Cambria" w:eastAsia="Times New Roman" w:hAnsi="Cambria" w:cs="Times New Roman"/>
          <w:color w:val="201F1E"/>
          <w:sz w:val="24"/>
          <w:szCs w:val="24"/>
          <w:bdr w:val="none" w:sz="0" w:space="0" w:color="auto" w:frame="1"/>
        </w:rPr>
        <w:t>April 28, 2025</w:t>
      </w:r>
    </w:p>
    <w:p w14:paraId="33059D17" w14:textId="77777777" w:rsidR="00632193" w:rsidRPr="00861E0D"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572CA">
        <w:rPr>
          <w:rFonts w:ascii="Cambria" w:eastAsia="Times New Roman" w:hAnsi="Cambria" w:cs="Times New Roman"/>
          <w:noProof/>
          <w:color w:val="201F1E"/>
          <w:sz w:val="24"/>
          <w:szCs w:val="24"/>
          <w:bdr w:val="none" w:sz="0" w:space="0" w:color="auto" w:frame="1"/>
        </w:rPr>
        <w:lastRenderedPageBreak/>
        <w:drawing>
          <wp:inline distT="0" distB="0" distL="0" distR="0" wp14:anchorId="358E3D11" wp14:editId="2CC98A4C">
            <wp:extent cx="5943600" cy="3840480"/>
            <wp:effectExtent l="0" t="0" r="0" b="7620"/>
            <wp:docPr id="1093013077" name="Picture 2">
              <a:extLst xmlns:a="http://schemas.openxmlformats.org/drawingml/2006/main">
                <a:ext uri="{FF2B5EF4-FFF2-40B4-BE49-F238E27FC236}">
                  <a16:creationId xmlns:a16="http://schemas.microsoft.com/office/drawing/2014/main" id="{3BAC70C4-52F1-365E-7B82-D54C11F0A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BAC70C4-52F1-365E-7B82-D54C11F0A9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40480"/>
                    </a:xfrm>
                    <a:prstGeom prst="rect">
                      <a:avLst/>
                    </a:prstGeom>
                  </pic:spPr>
                </pic:pic>
              </a:graphicData>
            </a:graphic>
          </wp:inline>
        </w:drawing>
      </w:r>
    </w:p>
    <w:p w14:paraId="79684F32"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 xml:space="preserve">Figure 3. </w:t>
      </w:r>
      <w:r>
        <w:rPr>
          <w:rFonts w:ascii="Cambria" w:eastAsia="Times New Roman" w:hAnsi="Cambria" w:cs="Times New Roman"/>
          <w:color w:val="201F1E"/>
          <w:sz w:val="24"/>
          <w:szCs w:val="24"/>
          <w:bdr w:val="none" w:sz="0" w:space="0" w:color="auto" w:frame="1"/>
        </w:rPr>
        <w:t>May 14, 2025</w:t>
      </w:r>
    </w:p>
    <w:p w14:paraId="31B33B2F" w14:textId="77777777" w:rsidR="00632193" w:rsidRPr="00C62FC4"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6572CA">
        <w:rPr>
          <w:rFonts w:ascii="Cambria" w:eastAsia="Times New Roman" w:hAnsi="Cambria" w:cs="Times New Roman"/>
          <w:noProof/>
          <w:color w:val="201F1E"/>
          <w:sz w:val="24"/>
          <w:szCs w:val="24"/>
          <w:bdr w:val="none" w:sz="0" w:space="0" w:color="auto" w:frame="1"/>
        </w:rPr>
        <w:drawing>
          <wp:inline distT="0" distB="0" distL="0" distR="0" wp14:anchorId="4ACB4646" wp14:editId="7353BBE6">
            <wp:extent cx="5943600" cy="3893820"/>
            <wp:effectExtent l="0" t="0" r="0" b="0"/>
            <wp:docPr id="882500463" name="Picture 2">
              <a:extLst xmlns:a="http://schemas.openxmlformats.org/drawingml/2006/main">
                <a:ext uri="{FF2B5EF4-FFF2-40B4-BE49-F238E27FC236}">
                  <a16:creationId xmlns:a16="http://schemas.microsoft.com/office/drawing/2014/main" id="{7476B489-9C43-7A17-D818-ECC56D2A1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476B489-9C43-7A17-D818-ECC56D2A157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93820"/>
                    </a:xfrm>
                    <a:prstGeom prst="rect">
                      <a:avLst/>
                    </a:prstGeom>
                  </pic:spPr>
                </pic:pic>
              </a:graphicData>
            </a:graphic>
          </wp:inline>
        </w:drawing>
      </w:r>
    </w:p>
    <w:p w14:paraId="43F24407"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4028A519"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lastRenderedPageBreak/>
        <w:t xml:space="preserve">Figure 4. </w:t>
      </w:r>
      <w:r>
        <w:rPr>
          <w:rFonts w:ascii="Cambria" w:eastAsia="Times New Roman" w:hAnsi="Cambria" w:cs="Times New Roman"/>
          <w:color w:val="201F1E"/>
          <w:sz w:val="24"/>
          <w:szCs w:val="24"/>
          <w:bdr w:val="none" w:sz="0" w:space="0" w:color="auto" w:frame="1"/>
        </w:rPr>
        <w:t>July 24, 2025 (dollar spot pressure)</w:t>
      </w:r>
    </w:p>
    <w:p w14:paraId="725280C7"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sidRPr="00861E0D">
        <w:rPr>
          <w:rFonts w:ascii="Cambria" w:eastAsia="Times New Roman" w:hAnsi="Cambria" w:cs="Times New Roman"/>
          <w:noProof/>
          <w:color w:val="201F1E"/>
          <w:sz w:val="24"/>
          <w:szCs w:val="24"/>
          <w:bdr w:val="none" w:sz="0" w:space="0" w:color="auto" w:frame="1"/>
        </w:rPr>
        <w:drawing>
          <wp:inline distT="0" distB="0" distL="0" distR="0" wp14:anchorId="6E5C69E7" wp14:editId="6A57ACCA">
            <wp:extent cx="5943600" cy="3343275"/>
            <wp:effectExtent l="0" t="0" r="0" b="9525"/>
            <wp:docPr id="1456632032" name="Picture 2">
              <a:extLst xmlns:a="http://schemas.openxmlformats.org/drawingml/2006/main">
                <a:ext uri="{FF2B5EF4-FFF2-40B4-BE49-F238E27FC236}">
                  <a16:creationId xmlns:a16="http://schemas.microsoft.com/office/drawing/2014/main" id="{61364D68-A8E1-B7D8-BFD2-0661F4C0B7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1364D68-A8E1-B7D8-BFD2-0661F4C0B79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223442F" w14:textId="77777777" w:rsidR="00632193"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 xml:space="preserve">Figure 5. </w:t>
      </w:r>
      <w:r>
        <w:rPr>
          <w:rFonts w:ascii="Cambria" w:eastAsia="Times New Roman" w:hAnsi="Cambria" w:cs="Times New Roman"/>
          <w:color w:val="201F1E"/>
          <w:sz w:val="24"/>
          <w:szCs w:val="24"/>
          <w:bdr w:val="none" w:sz="0" w:space="0" w:color="auto" w:frame="1"/>
        </w:rPr>
        <w:t>July 29, 2025 (brown patch pressure)</w:t>
      </w:r>
    </w:p>
    <w:p w14:paraId="7DFB9C82" w14:textId="77777777" w:rsidR="00632193" w:rsidRDefault="00632193" w:rsidP="00632193">
      <w:pPr>
        <w:shd w:val="clear" w:color="auto" w:fill="FFFFFF"/>
        <w:spacing w:after="0" w:line="240" w:lineRule="auto"/>
        <w:textAlignment w:val="baseline"/>
        <w:rPr>
          <w:rFonts w:ascii="Cambria" w:hAnsi="Cambria"/>
          <w:sz w:val="24"/>
          <w:szCs w:val="24"/>
        </w:rPr>
      </w:pPr>
      <w:r w:rsidRPr="00861E0D">
        <w:rPr>
          <w:rFonts w:ascii="Cambria" w:hAnsi="Cambria"/>
          <w:noProof/>
          <w:sz w:val="24"/>
          <w:szCs w:val="24"/>
        </w:rPr>
        <w:drawing>
          <wp:inline distT="0" distB="0" distL="0" distR="0" wp14:anchorId="408CB48C" wp14:editId="70F73FAA">
            <wp:extent cx="5943600" cy="3343275"/>
            <wp:effectExtent l="0" t="0" r="0" b="9525"/>
            <wp:docPr id="387170968" name="Picture 2">
              <a:extLst xmlns:a="http://schemas.openxmlformats.org/drawingml/2006/main">
                <a:ext uri="{FF2B5EF4-FFF2-40B4-BE49-F238E27FC236}">
                  <a16:creationId xmlns:a16="http://schemas.microsoft.com/office/drawing/2014/main" id="{A90D90A6-C34A-9ADA-C911-4860DEC0B3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0D90A6-C34A-9ADA-C911-4860DEC0B39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8B01479" w14:textId="77777777" w:rsidR="00632193" w:rsidRDefault="00632193" w:rsidP="00632193">
      <w:pPr>
        <w:shd w:val="clear" w:color="auto" w:fill="FFFFFF"/>
        <w:spacing w:after="0" w:line="240" w:lineRule="auto"/>
        <w:textAlignment w:val="baseline"/>
        <w:rPr>
          <w:rFonts w:ascii="Cambria" w:hAnsi="Cambria"/>
          <w:sz w:val="24"/>
          <w:szCs w:val="24"/>
        </w:rPr>
      </w:pPr>
    </w:p>
    <w:p w14:paraId="560E3980" w14:textId="77777777" w:rsidR="00632193" w:rsidRPr="00C62FC4" w:rsidRDefault="00632193" w:rsidP="00632193">
      <w:pPr>
        <w:shd w:val="clear" w:color="auto" w:fill="FFFFFF"/>
        <w:spacing w:after="0" w:line="240" w:lineRule="auto"/>
        <w:textAlignment w:val="baseline"/>
        <w:rPr>
          <w:rFonts w:ascii="Cambria" w:eastAsia="Times New Roman" w:hAnsi="Cambria" w:cs="Times New Roman"/>
          <w:color w:val="201F1E"/>
          <w:sz w:val="24"/>
          <w:szCs w:val="24"/>
          <w:bdr w:val="none" w:sz="0" w:space="0" w:color="auto" w:frame="1"/>
        </w:rPr>
      </w:pPr>
      <w:r>
        <w:rPr>
          <w:rFonts w:ascii="Cambria" w:eastAsia="Times New Roman" w:hAnsi="Cambria" w:cs="Times New Roman"/>
          <w:b/>
          <w:bCs/>
          <w:color w:val="201F1E"/>
          <w:sz w:val="24"/>
          <w:szCs w:val="24"/>
          <w:bdr w:val="none" w:sz="0" w:space="0" w:color="auto" w:frame="1"/>
        </w:rPr>
        <w:t xml:space="preserve">Project Duration/Future Research: </w:t>
      </w:r>
      <w:r>
        <w:rPr>
          <w:rFonts w:ascii="Cambria" w:eastAsia="Times New Roman" w:hAnsi="Cambria" w:cs="Times New Roman"/>
          <w:color w:val="201F1E"/>
          <w:sz w:val="24"/>
          <w:szCs w:val="24"/>
          <w:bdr w:val="none" w:sz="0" w:space="0" w:color="auto" w:frame="1"/>
        </w:rPr>
        <w:t>This project will continue through 2026 with intent for possible future publication.</w:t>
      </w:r>
    </w:p>
    <w:p w14:paraId="7AC0D1A4" w14:textId="77777777" w:rsidR="00632193" w:rsidRDefault="00632193" w:rsidP="00632193">
      <w:pPr>
        <w:shd w:val="clear" w:color="auto" w:fill="FFFFFF"/>
        <w:spacing w:after="0" w:line="240" w:lineRule="auto"/>
        <w:textAlignment w:val="baseline"/>
        <w:rPr>
          <w:rFonts w:ascii="Cambria" w:eastAsia="Times New Roman" w:hAnsi="Cambria" w:cs="Times New Roman"/>
          <w:b/>
          <w:bCs/>
          <w:color w:val="201F1E"/>
          <w:sz w:val="24"/>
          <w:szCs w:val="24"/>
          <w:bdr w:val="none" w:sz="0" w:space="0" w:color="auto" w:frame="1"/>
        </w:rPr>
      </w:pPr>
    </w:p>
    <w:p w14:paraId="6D39E8AF" w14:textId="77777777" w:rsidR="00B1260B" w:rsidRDefault="00B1260B"/>
    <w:sectPr w:rsidR="00B126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193"/>
    <w:rsid w:val="00490F40"/>
    <w:rsid w:val="005A2BC0"/>
    <w:rsid w:val="00632193"/>
    <w:rsid w:val="00A05FA9"/>
    <w:rsid w:val="00B1260B"/>
    <w:rsid w:val="00CA688D"/>
    <w:rsid w:val="00F52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5896"/>
  <w15:chartTrackingRefBased/>
  <w15:docId w15:val="{D617289D-45A9-4011-AC6D-3195EF117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93"/>
    <w:pPr>
      <w:spacing w:line="259" w:lineRule="auto"/>
    </w:pPr>
    <w:rPr>
      <w:kern w:val="0"/>
      <w:sz w:val="22"/>
      <w:szCs w:val="22"/>
      <w14:ligatures w14:val="none"/>
    </w:rPr>
  </w:style>
  <w:style w:type="paragraph" w:styleId="Heading1">
    <w:name w:val="heading 1"/>
    <w:basedOn w:val="Normal"/>
    <w:next w:val="Normal"/>
    <w:link w:val="Heading1Char"/>
    <w:uiPriority w:val="9"/>
    <w:qFormat/>
    <w:rsid w:val="0063219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3219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3219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3219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63219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63219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63219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63219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63219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1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21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21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21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21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21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1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1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193"/>
    <w:rPr>
      <w:rFonts w:eastAsiaTheme="majorEastAsia" w:cstheme="majorBidi"/>
      <w:color w:val="272727" w:themeColor="text1" w:themeTint="D8"/>
    </w:rPr>
  </w:style>
  <w:style w:type="paragraph" w:styleId="Title">
    <w:name w:val="Title"/>
    <w:basedOn w:val="Normal"/>
    <w:next w:val="Normal"/>
    <w:link w:val="TitleChar"/>
    <w:uiPriority w:val="10"/>
    <w:qFormat/>
    <w:rsid w:val="0063219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32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19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321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19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632193"/>
    <w:rPr>
      <w:i/>
      <w:iCs/>
      <w:color w:val="404040" w:themeColor="text1" w:themeTint="BF"/>
    </w:rPr>
  </w:style>
  <w:style w:type="paragraph" w:styleId="ListParagraph">
    <w:name w:val="List Paragraph"/>
    <w:basedOn w:val="Normal"/>
    <w:uiPriority w:val="34"/>
    <w:qFormat/>
    <w:rsid w:val="0063219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632193"/>
    <w:rPr>
      <w:i/>
      <w:iCs/>
      <w:color w:val="0F4761" w:themeColor="accent1" w:themeShade="BF"/>
    </w:rPr>
  </w:style>
  <w:style w:type="paragraph" w:styleId="IntenseQuote">
    <w:name w:val="Intense Quote"/>
    <w:basedOn w:val="Normal"/>
    <w:next w:val="Normal"/>
    <w:link w:val="IntenseQuoteChar"/>
    <w:uiPriority w:val="30"/>
    <w:qFormat/>
    <w:rsid w:val="0063219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632193"/>
    <w:rPr>
      <w:i/>
      <w:iCs/>
      <w:color w:val="0F4761" w:themeColor="accent1" w:themeShade="BF"/>
    </w:rPr>
  </w:style>
  <w:style w:type="character" w:styleId="IntenseReference">
    <w:name w:val="Intense Reference"/>
    <w:basedOn w:val="DefaultParagraphFont"/>
    <w:uiPriority w:val="32"/>
    <w:qFormat/>
    <w:rsid w:val="0063219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4</TotalTime>
  <Pages>5</Pages>
  <Words>587</Words>
  <Characters>3071</Characters>
  <Application>Microsoft Office Word</Application>
  <DocSecurity>0</DocSecurity>
  <Lines>90</Lines>
  <Paragraphs>27</Paragraphs>
  <ScaleCrop>false</ScaleCrop>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Rabe, Mike</dc:creator>
  <cp:keywords/>
  <dc:description/>
  <cp:lastModifiedBy>Rabe, Mike</cp:lastModifiedBy>
  <cp:revision>3</cp:revision>
  <dcterms:created xsi:type="dcterms:W3CDTF">2026-03-06T14:31:00Z</dcterms:created>
  <dcterms:modified xsi:type="dcterms:W3CDTF">2026-03-06T16:06:00Z</dcterms:modified>
</cp:coreProperties>
</file>